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63F3" w14:textId="0E8D54C3" w:rsidR="000B4895" w:rsidRPr="000B4895" w:rsidRDefault="000B4895" w:rsidP="00DD3055">
      <w:pPr>
        <w:widowControl/>
        <w:jc w:val="center"/>
        <w:outlineLvl w:val="2"/>
        <w:rPr>
          <w:rFonts w:ascii="微软雅黑" w:eastAsia="微软雅黑" w:hAnsi="微软雅黑" w:cs="宋体"/>
          <w:b/>
          <w:bCs/>
          <w:color w:val="333333"/>
          <w:kern w:val="0"/>
          <w:sz w:val="36"/>
          <w:szCs w:val="36"/>
        </w:rPr>
      </w:pPr>
      <w:r w:rsidRPr="000B4895">
        <w:rPr>
          <w:rFonts w:ascii="微软雅黑" w:eastAsia="微软雅黑" w:hAnsi="微软雅黑" w:cs="宋体" w:hint="eastAsia"/>
          <w:b/>
          <w:bCs/>
          <w:color w:val="333333"/>
          <w:kern w:val="0"/>
          <w:sz w:val="36"/>
          <w:szCs w:val="36"/>
        </w:rPr>
        <w:t>北京工商大学低值易耗品采购实施细则</w:t>
      </w:r>
      <w:r w:rsidR="003009D1">
        <w:rPr>
          <w:rFonts w:ascii="微软雅黑" w:eastAsia="微软雅黑" w:hAnsi="微软雅黑" w:cs="宋体" w:hint="eastAsia"/>
          <w:b/>
          <w:bCs/>
          <w:color w:val="333333"/>
          <w:kern w:val="0"/>
          <w:sz w:val="36"/>
          <w:szCs w:val="36"/>
        </w:rPr>
        <w:t>（修订）</w:t>
      </w:r>
    </w:p>
    <w:p w14:paraId="033D5E56"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第一章</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总则</w:t>
      </w:r>
    </w:p>
    <w:p w14:paraId="6458C2DC"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第一条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为规范学校低值易耗品采购管理，提高经费使用效率，简化采购流程，根据《北京工商大学招标与采购管理办法》等规定，结合学校实际，制定本细则。</w:t>
      </w:r>
    </w:p>
    <w:p w14:paraId="3C3865EA" w14:textId="77777777" w:rsidR="000B4895" w:rsidRDefault="000B4895" w:rsidP="000B4895">
      <w:pPr>
        <w:widowControl/>
        <w:spacing w:beforeAutospacing="1" w:afterAutospacing="1" w:line="360" w:lineRule="atLeast"/>
        <w:ind w:firstLine="480"/>
        <w:jc w:val="left"/>
        <w:rPr>
          <w:rFonts w:ascii="仿宋" w:eastAsia="仿宋" w:hAnsi="仿宋" w:cs="宋体"/>
          <w:color w:val="666666"/>
          <w:kern w:val="0"/>
          <w:sz w:val="24"/>
          <w:szCs w:val="24"/>
        </w:rPr>
      </w:pPr>
      <w:r w:rsidRPr="000B4895">
        <w:rPr>
          <w:rFonts w:ascii="仿宋" w:eastAsia="仿宋" w:hAnsi="仿宋" w:cs="宋体" w:hint="eastAsia"/>
          <w:b/>
          <w:bCs/>
          <w:color w:val="666666"/>
          <w:kern w:val="0"/>
          <w:sz w:val="24"/>
          <w:szCs w:val="24"/>
        </w:rPr>
        <w:t>第二条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本细则所称低值易耗品，指单类别单次采购金额小于30万元的实验耗材、办公用品。</w:t>
      </w:r>
    </w:p>
    <w:p w14:paraId="5AAA9361" w14:textId="77777777" w:rsidR="000B4895" w:rsidRDefault="000B4895" w:rsidP="000B4895">
      <w:pPr>
        <w:widowControl/>
        <w:spacing w:beforeAutospacing="1" w:afterAutospacing="1" w:line="360" w:lineRule="atLeast"/>
        <w:ind w:firstLine="480"/>
        <w:jc w:val="left"/>
        <w:rPr>
          <w:rFonts w:ascii="仿宋" w:eastAsia="仿宋" w:hAnsi="仿宋" w:cs="宋体"/>
          <w:color w:val="666666"/>
          <w:kern w:val="0"/>
          <w:sz w:val="24"/>
          <w:szCs w:val="24"/>
        </w:rPr>
      </w:pPr>
      <w:r w:rsidRPr="000B4895">
        <w:rPr>
          <w:rFonts w:ascii="仿宋" w:eastAsia="仿宋" w:hAnsi="仿宋" w:cs="宋体" w:hint="eastAsia"/>
          <w:color w:val="666666"/>
          <w:kern w:val="0"/>
          <w:sz w:val="24"/>
          <w:szCs w:val="24"/>
        </w:rPr>
        <w:t>实验</w:t>
      </w:r>
      <w:proofErr w:type="gramStart"/>
      <w:r w:rsidRPr="000B4895">
        <w:rPr>
          <w:rFonts w:ascii="仿宋" w:eastAsia="仿宋" w:hAnsi="仿宋" w:cs="宋体" w:hint="eastAsia"/>
          <w:color w:val="666666"/>
          <w:kern w:val="0"/>
          <w:sz w:val="24"/>
          <w:szCs w:val="24"/>
        </w:rPr>
        <w:t>耗材指</w:t>
      </w:r>
      <w:proofErr w:type="gramEnd"/>
      <w:r w:rsidRPr="000B4895">
        <w:rPr>
          <w:rFonts w:ascii="仿宋" w:eastAsia="仿宋" w:hAnsi="仿宋" w:cs="宋体" w:hint="eastAsia"/>
          <w:color w:val="666666"/>
          <w:kern w:val="0"/>
          <w:sz w:val="24"/>
          <w:szCs w:val="24"/>
        </w:rPr>
        <w:t>用于教学及科研实验活动的不属于固定资产的材料、燃料、低值品和易耗品。</w:t>
      </w:r>
    </w:p>
    <w:p w14:paraId="5CE4D41E" w14:textId="77777777" w:rsidR="000B4895" w:rsidRPr="000B4895" w:rsidRDefault="000B4895" w:rsidP="000B4895">
      <w:pPr>
        <w:widowControl/>
        <w:spacing w:beforeAutospacing="1" w:afterAutospacing="1" w:line="360" w:lineRule="atLeast"/>
        <w:ind w:firstLine="480"/>
        <w:jc w:val="left"/>
        <w:rPr>
          <w:rFonts w:ascii="仿宋" w:eastAsia="仿宋" w:hAnsi="仿宋" w:cs="宋体"/>
          <w:color w:val="666666"/>
          <w:kern w:val="0"/>
          <w:sz w:val="24"/>
          <w:szCs w:val="24"/>
        </w:rPr>
      </w:pPr>
      <w:r w:rsidRPr="000B4895">
        <w:rPr>
          <w:rFonts w:ascii="仿宋" w:eastAsia="仿宋" w:hAnsi="仿宋" w:cs="宋体" w:hint="eastAsia"/>
          <w:color w:val="666666"/>
          <w:kern w:val="0"/>
          <w:sz w:val="24"/>
          <w:szCs w:val="24"/>
        </w:rPr>
        <w:t>办公用品指部门、学院和课题组用于本单位日常办公使用的不属于固定资产的物品。其中，</w:t>
      </w:r>
      <w:proofErr w:type="gramStart"/>
      <w:r w:rsidRPr="000B4895">
        <w:rPr>
          <w:rFonts w:ascii="仿宋" w:eastAsia="仿宋" w:hAnsi="仿宋" w:cs="宋体" w:hint="eastAsia"/>
          <w:color w:val="666666"/>
          <w:kern w:val="0"/>
          <w:sz w:val="24"/>
          <w:szCs w:val="24"/>
        </w:rPr>
        <w:t>除硒鼓</w:t>
      </w:r>
      <w:proofErr w:type="gramEnd"/>
      <w:r w:rsidRPr="000B4895">
        <w:rPr>
          <w:rFonts w:ascii="仿宋" w:eastAsia="仿宋" w:hAnsi="仿宋" w:cs="宋体" w:hint="eastAsia"/>
          <w:color w:val="666666"/>
          <w:kern w:val="0"/>
          <w:sz w:val="24"/>
          <w:szCs w:val="24"/>
        </w:rPr>
        <w:t>墨盒外，原则上单价不得超过</w:t>
      </w:r>
      <w:r w:rsidRPr="000B4895">
        <w:rPr>
          <w:rFonts w:ascii="仿宋" w:eastAsia="仿宋" w:hAnsi="仿宋" w:cs="宋体"/>
          <w:color w:val="666666"/>
          <w:kern w:val="0"/>
          <w:sz w:val="24"/>
          <w:szCs w:val="24"/>
        </w:rPr>
        <w:t>1000元</w:t>
      </w:r>
      <w:r w:rsidRPr="000B4895">
        <w:rPr>
          <w:rFonts w:ascii="仿宋" w:eastAsia="仿宋" w:hAnsi="仿宋" w:cs="宋体" w:hint="eastAsia"/>
          <w:color w:val="666666"/>
          <w:kern w:val="0"/>
          <w:sz w:val="24"/>
          <w:szCs w:val="24"/>
        </w:rPr>
        <w:t>。</w:t>
      </w:r>
    </w:p>
    <w:p w14:paraId="51AA619B"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第三条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本细则不适用于管制类危险化学品及当年政府集中采购目录内货物和服务采购。</w:t>
      </w:r>
    </w:p>
    <w:p w14:paraId="106F67EE"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第二章</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职责分工</w:t>
      </w:r>
    </w:p>
    <w:p w14:paraId="1CF2C92A"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第四条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国有资产管理处（招标与采购办公室、实验室管理办公室）（以下简称“国资处”）对学校低值易耗品采购工作进行组织实施，主要职责：</w:t>
      </w:r>
    </w:p>
    <w:p w14:paraId="291C1079"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（一）制定完善学校低值易耗品采购相关规章制度。</w:t>
      </w:r>
    </w:p>
    <w:p w14:paraId="34B0BEFC"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（二）建立和维护学校低值易耗品管理采购平台，规范低值易耗品采购流程。</w:t>
      </w:r>
    </w:p>
    <w:p w14:paraId="7B9B98E5"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（三）组织审核低值易耗品管理采购平台供应商资质。</w:t>
      </w:r>
    </w:p>
    <w:p w14:paraId="1B4570B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（四）受理在采购活动过程中发生的质疑。</w:t>
      </w:r>
    </w:p>
    <w:p w14:paraId="5203040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（五）监督实验耗材及办公用品到货验收情况。</w:t>
      </w:r>
    </w:p>
    <w:p w14:paraId="58BFA7E3"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lastRenderedPageBreak/>
        <w:t>第五条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各二级单位负责本单位低值易耗品统一管理，负责管理本单位低值易耗品采购的审核、验收、保管和领用，实验室（课题组）负责人或部门“一支笔”对其负全面责任。</w:t>
      </w:r>
    </w:p>
    <w:p w14:paraId="4B9893A5"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第三章</w:t>
      </w:r>
      <w:r w:rsidRPr="000B4895">
        <w:rPr>
          <w:rFonts w:ascii="微软雅黑" w:eastAsia="微软雅黑" w:hAnsi="微软雅黑" w:cs="宋体" w:hint="eastAsia"/>
          <w:b/>
          <w:bCs/>
          <w:color w:val="666666"/>
          <w:kern w:val="0"/>
          <w:sz w:val="24"/>
          <w:szCs w:val="24"/>
        </w:rPr>
        <w:t> </w:t>
      </w:r>
      <w:r w:rsidRPr="000B4895">
        <w:rPr>
          <w:rFonts w:ascii="仿宋" w:eastAsia="仿宋" w:hAnsi="仿宋" w:cs="宋体" w:hint="eastAsia"/>
          <w:b/>
          <w:bCs/>
          <w:color w:val="666666"/>
          <w:kern w:val="0"/>
          <w:sz w:val="29"/>
          <w:szCs w:val="29"/>
        </w:rPr>
        <w:t>采购方式</w:t>
      </w:r>
    </w:p>
    <w:p w14:paraId="3764F529"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第六条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采购实验耗材和办公用品的，由项目单位具体实施，原则上均应通过北京工商大学低值易耗品管理平台(以下简称平台)进行采购或备案。</w:t>
      </w:r>
    </w:p>
    <w:p w14:paraId="371E0607"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第四章</w:t>
      </w:r>
      <w:r w:rsidRPr="000B4895">
        <w:rPr>
          <w:rFonts w:ascii="微软雅黑" w:eastAsia="微软雅黑" w:hAnsi="微软雅黑" w:cs="宋体" w:hint="eastAsia"/>
          <w:b/>
          <w:bCs/>
          <w:color w:val="666666"/>
          <w:kern w:val="0"/>
          <w:sz w:val="24"/>
          <w:szCs w:val="24"/>
        </w:rPr>
        <w:t> </w:t>
      </w:r>
      <w:r w:rsidRPr="000B4895">
        <w:rPr>
          <w:rFonts w:ascii="仿宋" w:eastAsia="仿宋" w:hAnsi="仿宋" w:cs="宋体" w:hint="eastAsia"/>
          <w:b/>
          <w:bCs/>
          <w:color w:val="666666"/>
          <w:kern w:val="0"/>
          <w:sz w:val="29"/>
          <w:szCs w:val="29"/>
        </w:rPr>
        <w:t>采购流程</w:t>
      </w:r>
    </w:p>
    <w:p w14:paraId="15DA161C"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第七条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实验耗材</w:t>
      </w:r>
    </w:p>
    <w:p w14:paraId="6A8EE24C"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（一）平台内采购</w:t>
      </w:r>
    </w:p>
    <w:p w14:paraId="068C6B4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1.国资处对供应商拟在平台销售的商品进行审核，审核内容主要为商品是否属于实验耗材范畴。</w:t>
      </w:r>
    </w:p>
    <w:p w14:paraId="53FD662D"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2.使用人提交订单至实验室负责人审核，审核内容主要包括：采购需求的必要性、合理性；使用人员、场地是否具备使用、储存相关实验耗材的安全资质和条件。</w:t>
      </w:r>
    </w:p>
    <w:p w14:paraId="3B45BA31"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3.单笔采购金额2万元（含）及以上的，须学院（部、研究院、研究所、研究中心）相关负责人审批。</w:t>
      </w:r>
    </w:p>
    <w:p w14:paraId="7D04CE93"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4.单笔采购金额5万元（含）以上的，须按《北京工商大学招标与采购管理办法》执行相关采购流程。</w:t>
      </w:r>
    </w:p>
    <w:p w14:paraId="3C75E95E"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5.供应商确认信息并发货。</w:t>
      </w:r>
    </w:p>
    <w:p w14:paraId="1286A0AE" w14:textId="727A452A"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（二）自购</w:t>
      </w:r>
      <w:r w:rsidR="003B6C70">
        <w:rPr>
          <w:rFonts w:ascii="仿宋" w:eastAsia="仿宋" w:hAnsi="仿宋" w:cs="宋体" w:hint="eastAsia"/>
          <w:color w:val="666666"/>
          <w:kern w:val="0"/>
          <w:sz w:val="24"/>
          <w:szCs w:val="24"/>
        </w:rPr>
        <w:t>申请</w:t>
      </w:r>
    </w:p>
    <w:p w14:paraId="51CEEB68" w14:textId="3BC30AC6"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1.对于平台内没有，或者平台内价格较高的实验耗材，使用人在平台内填写自</w:t>
      </w:r>
      <w:proofErr w:type="gramStart"/>
      <w:r w:rsidRPr="000B4895">
        <w:rPr>
          <w:rFonts w:ascii="仿宋" w:eastAsia="仿宋" w:hAnsi="仿宋" w:cs="宋体" w:hint="eastAsia"/>
          <w:color w:val="666666"/>
          <w:kern w:val="0"/>
          <w:sz w:val="24"/>
          <w:szCs w:val="24"/>
        </w:rPr>
        <w:t>购</w:t>
      </w:r>
      <w:r w:rsidR="003B6C70">
        <w:rPr>
          <w:rFonts w:ascii="仿宋" w:eastAsia="仿宋" w:hAnsi="仿宋" w:cs="宋体" w:hint="eastAsia"/>
          <w:color w:val="666666"/>
          <w:kern w:val="0"/>
          <w:sz w:val="24"/>
          <w:szCs w:val="24"/>
        </w:rPr>
        <w:t>申请</w:t>
      </w:r>
      <w:proofErr w:type="gramEnd"/>
      <w:r w:rsidRPr="000B4895">
        <w:rPr>
          <w:rFonts w:ascii="仿宋" w:eastAsia="仿宋" w:hAnsi="仿宋" w:cs="宋体" w:hint="eastAsia"/>
          <w:color w:val="666666"/>
          <w:kern w:val="0"/>
          <w:sz w:val="24"/>
          <w:szCs w:val="24"/>
        </w:rPr>
        <w:t>提交至实验室负责人审核，审核内容主要包括：采购需求的必要性、合理性；采购价格的合理性；使用人员、场地是否具备使用、储存相关实验耗材的安全资质和条件。</w:t>
      </w:r>
    </w:p>
    <w:p w14:paraId="0A29D777"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2.单笔采购金额2万元（含）及以上的，须学院（部、研究院、研究所、研究中心）相关负责人审批。</w:t>
      </w:r>
    </w:p>
    <w:p w14:paraId="023BAC2D"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lastRenderedPageBreak/>
        <w:t>3.单笔采购金额5万元（含）以上的，须按《北京工商大学招标与采购管理办法》执行相关采购流程。</w:t>
      </w:r>
    </w:p>
    <w:p w14:paraId="4648F9D0"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4.国资处备案。</w:t>
      </w:r>
    </w:p>
    <w:p w14:paraId="78A474A2"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5.供应商确认信息并发货。</w:t>
      </w:r>
    </w:p>
    <w:p w14:paraId="581B540D"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第八条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办公用品</w:t>
      </w:r>
    </w:p>
    <w:p w14:paraId="2B745176"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采购办公用品的，原则上均需通过平台采购。</w:t>
      </w:r>
    </w:p>
    <w:p w14:paraId="2865F46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1.国资处对供应商拟在平台销售的商品进行审核，审核内容主要为商品是否属于办公用品范畴。</w:t>
      </w:r>
    </w:p>
    <w:p w14:paraId="6A5F149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2.使用人提交订单</w:t>
      </w:r>
      <w:proofErr w:type="gramStart"/>
      <w:r w:rsidRPr="000B4895">
        <w:rPr>
          <w:rFonts w:ascii="仿宋" w:eastAsia="仿宋" w:hAnsi="仿宋" w:cs="宋体" w:hint="eastAsia"/>
          <w:color w:val="666666"/>
          <w:kern w:val="0"/>
          <w:sz w:val="24"/>
          <w:szCs w:val="24"/>
        </w:rPr>
        <w:t>至部门</w:t>
      </w:r>
      <w:proofErr w:type="gramEnd"/>
      <w:r w:rsidRPr="000B4895">
        <w:rPr>
          <w:rFonts w:ascii="仿宋" w:eastAsia="仿宋" w:hAnsi="仿宋" w:cs="宋体" w:hint="eastAsia"/>
          <w:color w:val="666666"/>
          <w:kern w:val="0"/>
          <w:sz w:val="24"/>
          <w:szCs w:val="24"/>
        </w:rPr>
        <w:t>管理员（课题组负责人）审核，审核内容主要包括：采购需求的必要性、合理性、核对经费余额。</w:t>
      </w:r>
    </w:p>
    <w:p w14:paraId="5CA710D8"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3.单笔采购金额2万元（含）及以上5万元以下的，</w:t>
      </w:r>
      <w:proofErr w:type="gramStart"/>
      <w:r w:rsidRPr="000B4895">
        <w:rPr>
          <w:rFonts w:ascii="仿宋" w:eastAsia="仿宋" w:hAnsi="仿宋" w:cs="宋体" w:hint="eastAsia"/>
          <w:color w:val="666666"/>
          <w:kern w:val="0"/>
          <w:sz w:val="24"/>
          <w:szCs w:val="24"/>
        </w:rPr>
        <w:t>须部门</w:t>
      </w:r>
      <w:proofErr w:type="gramEnd"/>
      <w:r w:rsidRPr="000B4895">
        <w:rPr>
          <w:rFonts w:ascii="仿宋" w:eastAsia="仿宋" w:hAnsi="仿宋" w:cs="宋体" w:hint="eastAsia"/>
          <w:color w:val="666666"/>
          <w:kern w:val="0"/>
          <w:sz w:val="24"/>
          <w:szCs w:val="24"/>
        </w:rPr>
        <w:t>“一支笔”（学院负责人）审批。</w:t>
      </w:r>
    </w:p>
    <w:p w14:paraId="103E1CB1"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4.单笔采购金额5万元（含）以上的，须按《北京工商大学招标与采购管理办法》执行相关采购流程。</w:t>
      </w:r>
    </w:p>
    <w:p w14:paraId="39DF6D32"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5.供应商确认信息并发货。</w:t>
      </w:r>
    </w:p>
    <w:p w14:paraId="4B6CE829"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第五章</w:t>
      </w:r>
      <w:r w:rsidRPr="000B4895">
        <w:rPr>
          <w:rFonts w:ascii="微软雅黑" w:eastAsia="微软雅黑" w:hAnsi="微软雅黑" w:cs="宋体" w:hint="eastAsia"/>
          <w:b/>
          <w:bCs/>
          <w:color w:val="666666"/>
          <w:kern w:val="0"/>
          <w:sz w:val="24"/>
          <w:szCs w:val="24"/>
        </w:rPr>
        <w:t> </w:t>
      </w:r>
      <w:r w:rsidRPr="000B4895">
        <w:rPr>
          <w:rFonts w:ascii="仿宋" w:eastAsia="仿宋" w:hAnsi="仿宋" w:cs="宋体" w:hint="eastAsia"/>
          <w:b/>
          <w:bCs/>
          <w:color w:val="666666"/>
          <w:kern w:val="0"/>
          <w:sz w:val="29"/>
          <w:szCs w:val="29"/>
        </w:rPr>
        <w:t>验</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收</w:t>
      </w:r>
    </w:p>
    <w:p w14:paraId="2C13544C"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第九条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采购低值易耗品的，对到货货品品类、规格、型号、数量等状况进行验收后，方可办理报销支付手续。</w:t>
      </w:r>
    </w:p>
    <w:p w14:paraId="7C95B48F"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第十条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国资处不定期对低值易耗品验收进行抽查巡检。</w:t>
      </w:r>
    </w:p>
    <w:p w14:paraId="163CC0B2"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第六章</w:t>
      </w:r>
      <w:r w:rsidRPr="000B4895">
        <w:rPr>
          <w:rFonts w:ascii="微软雅黑" w:eastAsia="微软雅黑" w:hAnsi="微软雅黑" w:cs="宋体" w:hint="eastAsia"/>
          <w:b/>
          <w:bCs/>
          <w:color w:val="666666"/>
          <w:kern w:val="0"/>
          <w:sz w:val="24"/>
          <w:szCs w:val="24"/>
        </w:rPr>
        <w:t> </w:t>
      </w:r>
      <w:r w:rsidRPr="000B4895">
        <w:rPr>
          <w:rFonts w:ascii="仿宋" w:eastAsia="仿宋" w:hAnsi="仿宋" w:cs="宋体" w:hint="eastAsia"/>
          <w:b/>
          <w:bCs/>
          <w:color w:val="666666"/>
          <w:kern w:val="0"/>
          <w:sz w:val="29"/>
          <w:szCs w:val="29"/>
        </w:rPr>
        <w:t>保管与领用</w:t>
      </w:r>
    </w:p>
    <w:p w14:paraId="33B93220"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第十一条</w:t>
      </w:r>
      <w:r w:rsidRPr="000B4895">
        <w:rPr>
          <w:rFonts w:ascii="微软雅黑" w:eastAsia="微软雅黑" w:hAnsi="微软雅黑" w:cs="宋体" w:hint="eastAsia"/>
          <w:b/>
          <w:bCs/>
          <w:color w:val="666666"/>
          <w:kern w:val="0"/>
          <w:sz w:val="24"/>
          <w:szCs w:val="24"/>
        </w:rPr>
        <w:t> </w:t>
      </w:r>
      <w:r w:rsidRPr="000B4895">
        <w:rPr>
          <w:rFonts w:ascii="仿宋" w:eastAsia="仿宋" w:hAnsi="仿宋" w:cs="宋体" w:hint="eastAsia"/>
          <w:color w:val="666666"/>
          <w:kern w:val="0"/>
          <w:sz w:val="24"/>
          <w:szCs w:val="24"/>
        </w:rPr>
        <w:t>各单位应做好低值易耗品的保管与领用工作，避免囤积和浪费。危险品的存放和使用应严格按相关安全制度执行，避免发生安全事件。</w:t>
      </w:r>
    </w:p>
    <w:p w14:paraId="62C4B7B6"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第七章</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供应商管理</w:t>
      </w:r>
    </w:p>
    <w:p w14:paraId="2FC8A2E6"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lastRenderedPageBreak/>
        <w:t>第十二条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供应商资质要求</w:t>
      </w:r>
    </w:p>
    <w:p w14:paraId="3F1E2CF8"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1.供应商根据学校发布的报名要求，提交营业执照、法人身份证复印件、业绩证明等基本资料。</w:t>
      </w:r>
    </w:p>
    <w:p w14:paraId="03AFF0A7"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2.经营危险化学品的，须提供在有效期内的相关资质许可。</w:t>
      </w:r>
    </w:p>
    <w:p w14:paraId="0FAFDFE2"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3.法定代表人相同的不同供应商，原则上不得同时进入学校采购平台。</w:t>
      </w:r>
    </w:p>
    <w:p w14:paraId="692C90D4"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第十三条</w:t>
      </w:r>
      <w:r w:rsidRPr="000B4895">
        <w:rPr>
          <w:rFonts w:ascii="Calibri" w:eastAsia="仿宋" w:hAnsi="Calibri" w:cs="Calibri"/>
          <w:color w:val="666666"/>
          <w:kern w:val="0"/>
          <w:sz w:val="24"/>
          <w:szCs w:val="24"/>
        </w:rPr>
        <w:t> </w:t>
      </w:r>
      <w:r w:rsidRPr="000B4895">
        <w:rPr>
          <w:rFonts w:ascii="仿宋" w:eastAsia="仿宋" w:hAnsi="仿宋" w:cs="宋体" w:hint="eastAsia"/>
          <w:color w:val="666666"/>
          <w:kern w:val="0"/>
          <w:sz w:val="24"/>
          <w:szCs w:val="24"/>
        </w:rPr>
        <w:t>平台供应商入选方式</w:t>
      </w:r>
    </w:p>
    <w:p w14:paraId="6DBD09E7" w14:textId="77777777"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color w:val="666666"/>
          <w:kern w:val="0"/>
          <w:sz w:val="24"/>
          <w:szCs w:val="24"/>
        </w:rPr>
        <w:t>平台供应商由国资处根据工作需要，不定期发布公告，供应商自愿报名，国资处组织审核资质通过后，签订采购协议，纳入平台管理。</w:t>
      </w:r>
    </w:p>
    <w:p w14:paraId="0831CA8C" w14:textId="77777777" w:rsidR="000B4895" w:rsidRPr="000B4895" w:rsidRDefault="000B4895" w:rsidP="000B4895">
      <w:pPr>
        <w:widowControl/>
        <w:spacing w:beforeAutospacing="1" w:afterAutospacing="1" w:line="360" w:lineRule="atLeast"/>
        <w:jc w:val="center"/>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9"/>
          <w:szCs w:val="29"/>
        </w:rPr>
        <w:t>第八章</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附</w:t>
      </w:r>
      <w:r w:rsidRPr="000B4895">
        <w:rPr>
          <w:rFonts w:ascii="Calibri" w:eastAsia="仿宋" w:hAnsi="Calibri" w:cs="Calibri"/>
          <w:b/>
          <w:bCs/>
          <w:color w:val="666666"/>
          <w:kern w:val="0"/>
          <w:sz w:val="29"/>
          <w:szCs w:val="29"/>
        </w:rPr>
        <w:t> </w:t>
      </w:r>
      <w:r w:rsidRPr="000B4895">
        <w:rPr>
          <w:rFonts w:ascii="仿宋" w:eastAsia="仿宋" w:hAnsi="仿宋" w:cs="宋体" w:hint="eastAsia"/>
          <w:b/>
          <w:bCs/>
          <w:color w:val="666666"/>
          <w:kern w:val="0"/>
          <w:sz w:val="29"/>
          <w:szCs w:val="29"/>
        </w:rPr>
        <w:t>则</w:t>
      </w:r>
    </w:p>
    <w:p w14:paraId="7934186D" w14:textId="3EE6D90A"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第十四条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本</w:t>
      </w:r>
      <w:r w:rsidR="0067226C">
        <w:rPr>
          <w:rFonts w:ascii="仿宋" w:eastAsia="仿宋" w:hAnsi="仿宋" w:cs="宋体" w:hint="eastAsia"/>
          <w:color w:val="666666"/>
          <w:kern w:val="0"/>
          <w:sz w:val="24"/>
          <w:szCs w:val="24"/>
        </w:rPr>
        <w:t>细则</w:t>
      </w:r>
      <w:r w:rsidRPr="000B4895">
        <w:rPr>
          <w:rFonts w:ascii="仿宋" w:eastAsia="仿宋" w:hAnsi="仿宋" w:cs="宋体" w:hint="eastAsia"/>
          <w:color w:val="666666"/>
          <w:kern w:val="0"/>
          <w:sz w:val="24"/>
          <w:szCs w:val="24"/>
        </w:rPr>
        <w:t>未尽事宜，按国家和北京市相关规定执行。</w:t>
      </w:r>
    </w:p>
    <w:p w14:paraId="5E99F6F2" w14:textId="52C9D9A3" w:rsidR="000B4895" w:rsidRPr="000B4895" w:rsidRDefault="000B4895" w:rsidP="000B4895">
      <w:pPr>
        <w:widowControl/>
        <w:spacing w:beforeAutospacing="1" w:afterAutospacing="1" w:line="360" w:lineRule="atLeast"/>
        <w:ind w:firstLine="480"/>
        <w:jc w:val="left"/>
        <w:rPr>
          <w:rFonts w:ascii="微软雅黑" w:eastAsia="微软雅黑" w:hAnsi="微软雅黑" w:cs="宋体"/>
          <w:color w:val="666666"/>
          <w:kern w:val="0"/>
          <w:sz w:val="24"/>
          <w:szCs w:val="24"/>
        </w:rPr>
      </w:pPr>
      <w:r w:rsidRPr="000B4895">
        <w:rPr>
          <w:rFonts w:ascii="仿宋" w:eastAsia="仿宋" w:hAnsi="仿宋" w:cs="宋体" w:hint="eastAsia"/>
          <w:b/>
          <w:bCs/>
          <w:color w:val="666666"/>
          <w:kern w:val="0"/>
          <w:sz w:val="24"/>
          <w:szCs w:val="24"/>
        </w:rPr>
        <w:t>第十五条</w:t>
      </w:r>
      <w:r w:rsidRPr="000B4895">
        <w:rPr>
          <w:rFonts w:ascii="微软雅黑" w:eastAsia="微软雅黑" w:hAnsi="微软雅黑" w:cs="宋体" w:hint="eastAsia"/>
          <w:color w:val="666666"/>
          <w:kern w:val="0"/>
          <w:sz w:val="24"/>
          <w:szCs w:val="24"/>
        </w:rPr>
        <w:t> </w:t>
      </w:r>
      <w:r w:rsidRPr="000B4895">
        <w:rPr>
          <w:rFonts w:ascii="仿宋" w:eastAsia="仿宋" w:hAnsi="仿宋" w:cs="宋体" w:hint="eastAsia"/>
          <w:color w:val="666666"/>
          <w:kern w:val="0"/>
          <w:sz w:val="24"/>
          <w:szCs w:val="24"/>
        </w:rPr>
        <w:t>本</w:t>
      </w:r>
      <w:r w:rsidR="0067226C">
        <w:rPr>
          <w:rFonts w:ascii="仿宋" w:eastAsia="仿宋" w:hAnsi="仿宋" w:cs="宋体" w:hint="eastAsia"/>
          <w:color w:val="666666"/>
          <w:kern w:val="0"/>
          <w:sz w:val="24"/>
          <w:szCs w:val="24"/>
        </w:rPr>
        <w:t>细则</w:t>
      </w:r>
      <w:r w:rsidRPr="000B4895">
        <w:rPr>
          <w:rFonts w:ascii="仿宋" w:eastAsia="仿宋" w:hAnsi="仿宋" w:cs="宋体" w:hint="eastAsia"/>
          <w:color w:val="666666"/>
          <w:kern w:val="0"/>
          <w:sz w:val="24"/>
          <w:szCs w:val="24"/>
        </w:rPr>
        <w:t>由国资处负责解释，自发布之日起施行。</w:t>
      </w:r>
    </w:p>
    <w:p w14:paraId="53A38ABD" w14:textId="6DFE27A5" w:rsidR="001F372B" w:rsidRPr="00DD3055" w:rsidRDefault="00DD3055" w:rsidP="00DD3055">
      <w:pPr>
        <w:jc w:val="right"/>
        <w:rPr>
          <w:rFonts w:ascii="仿宋" w:eastAsia="仿宋" w:hAnsi="仿宋" w:cs="宋体"/>
          <w:color w:val="666666"/>
          <w:kern w:val="0"/>
          <w:sz w:val="24"/>
          <w:szCs w:val="24"/>
        </w:rPr>
      </w:pPr>
      <w:r w:rsidRPr="00DD3055">
        <w:rPr>
          <w:rFonts w:ascii="仿宋" w:eastAsia="仿宋" w:hAnsi="仿宋" w:cs="宋体" w:hint="eastAsia"/>
          <w:color w:val="666666"/>
          <w:kern w:val="0"/>
          <w:sz w:val="24"/>
          <w:szCs w:val="24"/>
        </w:rPr>
        <w:t>（</w:t>
      </w:r>
      <w:r w:rsidRPr="00DD3055">
        <w:rPr>
          <w:rFonts w:ascii="仿宋" w:eastAsia="仿宋" w:hAnsi="仿宋" w:cs="宋体"/>
          <w:color w:val="666666"/>
          <w:kern w:val="0"/>
          <w:sz w:val="24"/>
          <w:szCs w:val="24"/>
        </w:rPr>
        <w:t>2023年5月30日</w:t>
      </w:r>
      <w:r w:rsidRPr="00DD3055">
        <w:rPr>
          <w:rFonts w:ascii="仿宋" w:eastAsia="仿宋" w:hAnsi="仿宋" w:cs="宋体" w:hint="eastAsia"/>
          <w:color w:val="666666"/>
          <w:kern w:val="0"/>
          <w:sz w:val="24"/>
          <w:szCs w:val="24"/>
        </w:rPr>
        <w:t>修订）</w:t>
      </w:r>
    </w:p>
    <w:sectPr w:rsidR="001F372B" w:rsidRPr="00DD30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313E1"/>
    <w:multiLevelType w:val="hybridMultilevel"/>
    <w:tmpl w:val="AF481310"/>
    <w:lvl w:ilvl="0" w:tplc="A0A2CDCE">
      <w:start w:val="1"/>
      <w:numFmt w:val="chineseCountingThousand"/>
      <w:lvlText w:val="第%1条"/>
      <w:lvlJc w:val="left"/>
      <w:pPr>
        <w:ind w:left="959" w:hanging="420"/>
      </w:pPr>
      <w:rPr>
        <w:rFonts w:ascii="黑体" w:eastAsia="黑体" w:hAnsi="黑体" w:hint="eastAsia"/>
        <w:b w:val="0"/>
        <w:bCs/>
        <w:sz w:val="28"/>
        <w:szCs w:val="28"/>
        <w:lang w:val="en-US"/>
      </w:rPr>
    </w:lvl>
    <w:lvl w:ilvl="1" w:tplc="FFFFFFFF" w:tentative="1">
      <w:start w:val="1"/>
      <w:numFmt w:val="lowerLetter"/>
      <w:lvlText w:val="%2)"/>
      <w:lvlJc w:val="left"/>
      <w:pPr>
        <w:ind w:left="1379" w:hanging="420"/>
      </w:pPr>
    </w:lvl>
    <w:lvl w:ilvl="2" w:tplc="FFFFFFFF" w:tentative="1">
      <w:start w:val="1"/>
      <w:numFmt w:val="lowerRoman"/>
      <w:lvlText w:val="%3."/>
      <w:lvlJc w:val="right"/>
      <w:pPr>
        <w:ind w:left="1799" w:hanging="420"/>
      </w:pPr>
    </w:lvl>
    <w:lvl w:ilvl="3" w:tplc="FFFFFFFF" w:tentative="1">
      <w:start w:val="1"/>
      <w:numFmt w:val="decimal"/>
      <w:lvlText w:val="%4."/>
      <w:lvlJc w:val="left"/>
      <w:pPr>
        <w:ind w:left="2219" w:hanging="420"/>
      </w:pPr>
    </w:lvl>
    <w:lvl w:ilvl="4" w:tplc="FFFFFFFF" w:tentative="1">
      <w:start w:val="1"/>
      <w:numFmt w:val="lowerLetter"/>
      <w:lvlText w:val="%5)"/>
      <w:lvlJc w:val="left"/>
      <w:pPr>
        <w:ind w:left="2639" w:hanging="420"/>
      </w:pPr>
    </w:lvl>
    <w:lvl w:ilvl="5" w:tplc="FFFFFFFF" w:tentative="1">
      <w:start w:val="1"/>
      <w:numFmt w:val="lowerRoman"/>
      <w:lvlText w:val="%6."/>
      <w:lvlJc w:val="right"/>
      <w:pPr>
        <w:ind w:left="3059" w:hanging="420"/>
      </w:pPr>
    </w:lvl>
    <w:lvl w:ilvl="6" w:tplc="FFFFFFFF" w:tentative="1">
      <w:start w:val="1"/>
      <w:numFmt w:val="decimal"/>
      <w:lvlText w:val="%7."/>
      <w:lvlJc w:val="left"/>
      <w:pPr>
        <w:ind w:left="3479" w:hanging="420"/>
      </w:pPr>
    </w:lvl>
    <w:lvl w:ilvl="7" w:tplc="FFFFFFFF" w:tentative="1">
      <w:start w:val="1"/>
      <w:numFmt w:val="lowerLetter"/>
      <w:lvlText w:val="%8)"/>
      <w:lvlJc w:val="left"/>
      <w:pPr>
        <w:ind w:left="3899" w:hanging="420"/>
      </w:pPr>
    </w:lvl>
    <w:lvl w:ilvl="8" w:tplc="FFFFFFFF" w:tentative="1">
      <w:start w:val="1"/>
      <w:numFmt w:val="lowerRoman"/>
      <w:lvlText w:val="%9."/>
      <w:lvlJc w:val="right"/>
      <w:pPr>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36"/>
    <w:rsid w:val="00062636"/>
    <w:rsid w:val="000B4895"/>
    <w:rsid w:val="00191483"/>
    <w:rsid w:val="001F372B"/>
    <w:rsid w:val="003009D1"/>
    <w:rsid w:val="003B6C70"/>
    <w:rsid w:val="0067226C"/>
    <w:rsid w:val="00DD3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8A"/>
  <w15:chartTrackingRefBased/>
  <w15:docId w15:val="{CA85AC34-ED0A-4095-AE81-0085E29A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B48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B4895"/>
    <w:rPr>
      <w:rFonts w:ascii="宋体" w:eastAsia="宋体" w:hAnsi="宋体" w:cs="宋体"/>
      <w:b/>
      <w:bCs/>
      <w:kern w:val="0"/>
      <w:sz w:val="27"/>
      <w:szCs w:val="27"/>
    </w:rPr>
  </w:style>
  <w:style w:type="character" w:customStyle="1" w:styleId="source">
    <w:name w:val="source"/>
    <w:basedOn w:val="a0"/>
    <w:rsid w:val="000B4895"/>
  </w:style>
  <w:style w:type="character" w:customStyle="1" w:styleId="1">
    <w:name w:val="日期1"/>
    <w:basedOn w:val="a0"/>
    <w:rsid w:val="000B4895"/>
  </w:style>
  <w:style w:type="paragraph" w:styleId="a3">
    <w:name w:val="Normal (Web)"/>
    <w:basedOn w:val="a"/>
    <w:uiPriority w:val="99"/>
    <w:semiHidden/>
    <w:unhideWhenUsed/>
    <w:rsid w:val="000B48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4895"/>
    <w:rPr>
      <w:b/>
      <w:bCs/>
    </w:rPr>
  </w:style>
  <w:style w:type="paragraph" w:styleId="a5">
    <w:name w:val="List Paragraph"/>
    <w:basedOn w:val="a"/>
    <w:uiPriority w:val="34"/>
    <w:qFormat/>
    <w:rsid w:val="000B4895"/>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237026">
      <w:bodyDiv w:val="1"/>
      <w:marLeft w:val="0"/>
      <w:marRight w:val="0"/>
      <w:marTop w:val="0"/>
      <w:marBottom w:val="0"/>
      <w:divBdr>
        <w:top w:val="none" w:sz="0" w:space="0" w:color="auto"/>
        <w:left w:val="none" w:sz="0" w:space="0" w:color="auto"/>
        <w:bottom w:val="none" w:sz="0" w:space="0" w:color="auto"/>
        <w:right w:val="none" w:sz="0" w:space="0" w:color="auto"/>
      </w:divBdr>
      <w:divsChild>
        <w:div w:id="1272396631">
          <w:marLeft w:val="0"/>
          <w:marRight w:val="0"/>
          <w:marTop w:val="0"/>
          <w:marBottom w:val="300"/>
          <w:divBdr>
            <w:top w:val="single" w:sz="6" w:space="8" w:color="EBEBEB"/>
            <w:left w:val="none" w:sz="0" w:space="0" w:color="auto"/>
            <w:bottom w:val="single" w:sz="6" w:space="8" w:color="EBEBEB"/>
            <w:right w:val="none" w:sz="0" w:space="0" w:color="auto"/>
          </w:divBdr>
        </w:div>
        <w:div w:id="213983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康智勇</dc:creator>
  <cp:keywords/>
  <dc:description/>
  <cp:lastModifiedBy>赵 宏亮</cp:lastModifiedBy>
  <cp:revision>5</cp:revision>
  <dcterms:created xsi:type="dcterms:W3CDTF">2023-05-30T08:14:00Z</dcterms:created>
  <dcterms:modified xsi:type="dcterms:W3CDTF">2023-06-06T09:35:00Z</dcterms:modified>
</cp:coreProperties>
</file>